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F88D" w14:textId="4F7DA986" w:rsidR="00731A2A" w:rsidRDefault="00731A2A" w:rsidP="00731A2A">
      <w:pPr>
        <w:spacing w:before="100" w:beforeAutospacing="1" w:after="100" w:afterAutospacing="1"/>
        <w:ind w:left="7788"/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</w:pPr>
      <w:r w:rsidRPr="00C36564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29.03.2025</w:t>
      </w:r>
    </w:p>
    <w:p w14:paraId="3D78799A" w14:textId="683D45B3" w:rsidR="002431DA" w:rsidRPr="00C36564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</w:pPr>
      <w:r w:rsidRPr="00C36564"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  <w:t xml:space="preserve">Digitální vzdělávání vs. klasická výuka: </w:t>
      </w:r>
      <w:r w:rsidR="00731A2A"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  <w:t>Co je b</w:t>
      </w:r>
      <w:r w:rsidRPr="00C36564"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  <w:t xml:space="preserve">udoucnost </w:t>
      </w:r>
      <w:r w:rsidR="00731A2A"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  <w:t>na</w:t>
      </w:r>
      <w:r w:rsidR="00731A2A">
        <w:rPr>
          <w:rFonts w:ascii="Calibri Light" w:eastAsia="Times New Roman" w:hAnsi="Calibri Light" w:cs="Calibri Light"/>
          <w:b/>
          <w:bCs/>
          <w:color w:val="000000"/>
          <w:kern w:val="0"/>
          <w:lang w:val="cs-CZ" w:eastAsia="cs-CZ"/>
          <w14:ligatures w14:val="none"/>
        </w:rPr>
        <w:t xml:space="preserve">šeho </w:t>
      </w:r>
      <w:r w:rsidRPr="00C36564"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  <w:t>učení?</w:t>
      </w:r>
      <w:r w:rsidR="00C36564">
        <w:rPr>
          <w:rFonts w:ascii="Calibri Light" w:eastAsia="Times New Roman" w:hAnsi="Calibri Light" w:cs="Calibri Light"/>
          <w:b/>
          <w:bCs/>
          <w:color w:val="000000"/>
          <w:kern w:val="0"/>
          <w:lang w:eastAsia="cs-CZ"/>
          <w14:ligatures w14:val="none"/>
        </w:rPr>
        <w:tab/>
      </w:r>
    </w:p>
    <w:p w14:paraId="51DDDEAA" w14:textId="4116AC87" w:rsidR="002431DA" w:rsidRPr="002431DA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V dnešní době, kdy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 neust</w:t>
      </w:r>
      <w:r>
        <w:rPr>
          <w:rFonts w:ascii="Calibri Light" w:eastAsia="Times New Roman" w:hAnsi="Calibri Light" w:cs="Calibri Light"/>
          <w:color w:val="000000"/>
          <w:kern w:val="0"/>
          <w:lang w:val="cs-CZ" w:eastAsia="cs-CZ"/>
          <w14:ligatures w14:val="none"/>
        </w:rPr>
        <w:t>ále intenzivněji ovlivňují technologie náš každodenní život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, se i vzdělávání dostalo do bodu, kdy se digitální formy učení stávají nejen doplňkem, ale mnohdy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i čím dál tím častější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metodou vyučování. Otázka tedy nezní, zda by měla být technologie ve vzdělávání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nacházet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, ale spíše jak ji správně využít, aby skutečně zlepšila proces učení. Mnohé školy po celém světě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už využívají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digitální nástroje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během svých výuk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a ukazuje se, že kombinace tradičních metod a moderních technologií může přinášet nejlepší výsledky.</w:t>
      </w:r>
    </w:p>
    <w:p w14:paraId="47B3F1CE" w14:textId="77777777" w:rsidR="002431DA" w:rsidRPr="00C36564" w:rsidRDefault="002431DA" w:rsidP="002431DA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C36564"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  <w:t>Klasická výuka: Osvědčená tradice</w:t>
      </w:r>
    </w:p>
    <w:p w14:paraId="5D5041B4" w14:textId="10C36CE8" w:rsidR="002431DA" w:rsidRPr="002431DA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Tradiční způsob vyučování, tedy učitel před tabulí a studenti s učebnicemi a sešity, funguje již staletí. Tento model poskytuje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přímou konfrontaci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mezi učitelem a žáky, rozvíjí schopnost soustředění a podporuje diskusi. Zároveň se ukazuje, že fyzické psaní rukou pomáhá lépe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upevnit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 informace v paměti. Některé studie naznačují, že ruční psaní podporuje hlubší porozumění látce a pomáhá studentům lépe organizovat své myšlenky.</w:t>
      </w:r>
    </w:p>
    <w:p w14:paraId="6AF5765F" w14:textId="41666A74" w:rsidR="002431DA" w:rsidRPr="002431DA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Na druhou stranu, klasická výuka může být pro některé studenty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nudná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a </w:t>
      </w: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jednolitá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. Navíc ne každý student se učí stejným tempem a stejným způsobem, což často vede k frustraci u těch, kteří potřebují jiný přístup. V tradičním modelu je také obtížnější sledovat individuální pokrok studentů a přizpůsobit výuku jejich potřebám.</w:t>
      </w:r>
    </w:p>
    <w:p w14:paraId="65CB0E80" w14:textId="77777777" w:rsidR="002431DA" w:rsidRPr="00C36564" w:rsidRDefault="002431DA" w:rsidP="002431DA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C36564"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  <w:t>Digitální vzdělávání: Budoucnost nebo jen trend?</w:t>
      </w:r>
    </w:p>
    <w:p w14:paraId="39F8253C" w14:textId="56CFD7E8" w:rsidR="002431DA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Digitální učení nabízí mnoho výhod, které klasická výuka nenabídne. Online kurzy, interaktivní aplikace, simulace nebo AI asistenti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, kteří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mohou pomoci studentům učit se vlastním tempem a způsobem, který jim vyhovuje. Například studie Stanfordovy univerzity ukazuj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í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, že adaptivní učení (tj. přizpůsobení obsahu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dle individualního výkonu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) z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lepšuje schopnost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zapamatování a motivaci studentů. Další výzkumy naznačují, že prvky, jako jsou videa nebo interaktivní testy, mohou pomoci studentům lépe porozumět složitým konceptům.</w:t>
      </w:r>
    </w:p>
    <w:p w14:paraId="122F7B41" w14:textId="2BF32518" w:rsidR="001F31CC" w:rsidRPr="002431DA" w:rsidRDefault="001F31CC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Postoj k tématu ve Skandinávii </w:t>
      </w:r>
    </w:p>
    <w:p w14:paraId="7FB93560" w14:textId="75F596EF" w:rsidR="002431DA" w:rsidRPr="002431DA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Příkladem úspěchu digitálního vzdělávání jsou Finsko a Estonsko, kde technologie hraje ve vzdělávacím systému klíčovou roli. Estonsko investovalo do online vzdělávacích platforem a studenti tam mohou často volit mezi tradiční a digitální formou učení. V některých školách se využívají virtuální reality k výuce dějepisu nebo biologie, což studentům umožňuje lépe si představit a pochopit probíranou látku.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 V mnoha případech si mohou také žáci vybrat jakým směrem by se chtěli nadále vzdělávat, což pomáhá žákům neztrácet čas a věnovat se věcem s kterými se chtějí zabývat v budoucnosti.</w:t>
      </w:r>
    </w:p>
    <w:p w14:paraId="7F41A81F" w14:textId="77777777" w:rsidR="002431DA" w:rsidRPr="00C36564" w:rsidRDefault="002431DA" w:rsidP="002431DA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C36564"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  <w:t>Vyvážený přístup je klíč</w:t>
      </w:r>
    </w:p>
    <w:p w14:paraId="2760EEA7" w14:textId="5ACA9F42" w:rsidR="001F31CC" w:rsidRPr="002431DA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Osobně podporuji technologický pokrok a myslím si, že místo toho, abychom digitální vzdělávání vídali jako náhradu za klasickou výuku, bychom ho měli brát jako její vylepšení.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lastRenderedPageBreak/>
        <w:t xml:space="preserve">Učit se pomocí tabletů, chytrých tabulí a online kurzů je skvělé, ale současně bychom neměli zapomenout na osobní kontakt a schopnost kriticky přemýšlet bez pomoci obrazovek. Rovněž je důležité 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na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učit studenty digitální gramotnosti a správnému zacházení s informacemi, aby dokázali rozeznat důvěryhodné zdroje od dezinformací.</w:t>
      </w:r>
    </w:p>
    <w:p w14:paraId="484A5A9E" w14:textId="6A110DB2" w:rsidR="002431DA" w:rsidRDefault="002431DA" w:rsidP="002431D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Digitální vzdělávání není hrozba, ale příležitost. Pokud budeme technologie využívat správně, mohou nám pomoci posunout vzdělání vpřed a přizpůsobit ho potřebám studentů 21. století. Například 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zmíněnž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 model výuky, který kombinuje tradiční a digitální metody, se ukazuje jako efektivní způsob, jak využít to nejlepší z obou světů.</w:t>
      </w:r>
    </w:p>
    <w:p w14:paraId="678344B3" w14:textId="77777777" w:rsidR="002431DA" w:rsidRPr="00C36564" w:rsidRDefault="002431DA" w:rsidP="002431DA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C36564">
        <w:rPr>
          <w:rFonts w:ascii="Calibri Light" w:eastAsia="Times New Roman" w:hAnsi="Calibri Light" w:cs="Calibri Light"/>
          <w:b/>
          <w:bCs/>
          <w:color w:val="000000"/>
          <w:kern w:val="0"/>
          <w:sz w:val="27"/>
          <w:szCs w:val="27"/>
          <w:lang w:eastAsia="cs-CZ"/>
          <w14:ligatures w14:val="none"/>
        </w:rPr>
        <w:t>Kritika digitálního vzdělávání</w:t>
      </w:r>
    </w:p>
    <w:p w14:paraId="336A90EB" w14:textId="576E6BE8" w:rsidR="00B416F7" w:rsidRDefault="002431DA" w:rsidP="001F31C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Navzdory mnoha výhodám má digitální vzdělávání i své kritiky. Někteří odborníci varují, že přílišná digitalizace může vést ke snížení schopnosti soustředění a narušení sociálních 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kompetencí </w:t>
      </w:r>
      <w:r w:rsidRPr="002431DA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>studentů. Dlouhé hodiny strávené před obrazovkami mohou také negativně ovlivnit zdraví, například zrak a kvalitu spánku. Další obavou je, že ne všichni studenti mají doma přístup k moderním technologiím, což může vést k nerovnosti ve vzdělávacích příležitostech. Proto je důležité, aby školy přistupovaly k digitalizaci vyváženě a zajistily, že technologie budou využívány efektivně a spravedlivě.</w:t>
      </w:r>
      <w:r w:rsidR="001F31CC"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 V bucoucnu bychom se dle mého názoru měli snažit najít zlatý střed mezi těmito styly, aby byla výuka prováděna dle možností a potřeby dnešní doby. A tohle nebude možné pokud nebudeme jako společnost otevřena pro nové nápady a např. budeme podporovat jen jeden styl, protože všeho moc škodí.</w:t>
      </w:r>
    </w:p>
    <w:p w14:paraId="325A7A81" w14:textId="77777777" w:rsidR="00731A2A" w:rsidRDefault="00731A2A" w:rsidP="001F31C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</w:p>
    <w:p w14:paraId="43B7BB03" w14:textId="7A8E31F6" w:rsidR="00731A2A" w:rsidRDefault="00731A2A" w:rsidP="001F31C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Zdroje: </w:t>
      </w:r>
      <w:hyperlink r:id="rId4" w:history="1"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http</w:t>
        </w:r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s</w:t>
        </w:r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://www.scientificamerican.com/article/why-writing-by-hand-is-better-for-memory-and-le</w:t>
        </w:r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a</w:t>
        </w:r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rning/</w:t>
        </w:r>
      </w:hyperlink>
    </w:p>
    <w:p w14:paraId="454059FC" w14:textId="26F406FC" w:rsidR="00731A2A" w:rsidRDefault="00731A2A" w:rsidP="001F31C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hyperlink r:id="rId5" w:history="1"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https://courier.unesco.org/en/articles/estonia-early-convert-digital-technology</w:t>
        </w:r>
      </w:hyperlink>
      <w:r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  <w:t xml:space="preserve"> </w:t>
      </w:r>
    </w:p>
    <w:p w14:paraId="4FFC1979" w14:textId="65467BB8" w:rsidR="00731A2A" w:rsidRDefault="00731A2A" w:rsidP="001F31C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hyperlink r:id="rId6" w:history="1"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https://pmc.ncbi.nlm.nih.gov/articles/PMC10353947/</w:t>
        </w:r>
      </w:hyperlink>
    </w:p>
    <w:p w14:paraId="2F5C1C0E" w14:textId="22E3EA1C" w:rsidR="00731A2A" w:rsidRDefault="00731A2A" w:rsidP="001F31C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  <w:hyperlink r:id="rId7" w:history="1">
        <w:r w:rsidRPr="00C84A0F">
          <w:rPr>
            <w:rStyle w:val="Hypertextovodkaz"/>
            <w:rFonts w:ascii="Calibri Light" w:eastAsia="Times New Roman" w:hAnsi="Calibri Light" w:cs="Calibri Light"/>
            <w:kern w:val="0"/>
            <w:lang w:eastAsia="cs-CZ"/>
            <w14:ligatures w14:val="none"/>
          </w:rPr>
          <w:t>https://sparklab.stanford.edu/studies</w:t>
        </w:r>
      </w:hyperlink>
    </w:p>
    <w:p w14:paraId="7586F796" w14:textId="77777777" w:rsidR="00731A2A" w:rsidRPr="001F31CC" w:rsidRDefault="00731A2A" w:rsidP="001F31C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kern w:val="0"/>
          <w:lang w:eastAsia="cs-CZ"/>
          <w14:ligatures w14:val="none"/>
        </w:rPr>
      </w:pPr>
    </w:p>
    <w:sectPr w:rsidR="00731A2A" w:rsidRPr="001F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D5"/>
    <w:rsid w:val="000C5BD5"/>
    <w:rsid w:val="001F31CC"/>
    <w:rsid w:val="002431DA"/>
    <w:rsid w:val="00317457"/>
    <w:rsid w:val="00731A2A"/>
    <w:rsid w:val="00A43917"/>
    <w:rsid w:val="00AF6792"/>
    <w:rsid w:val="00B416F7"/>
    <w:rsid w:val="00C36564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3CC37"/>
  <w15:chartTrackingRefBased/>
  <w15:docId w15:val="{3161979A-CCC2-1B49-B0FC-B98CE76C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5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5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B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B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B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B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5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C5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B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B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B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B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B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B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5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5B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5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5B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5B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5B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5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5B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5BD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431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431D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1A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1A2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31A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arklab.stanford.edu/stud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c.ncbi.nlm.nih.gov/articles/PMC10353947/" TargetMode="External"/><Relationship Id="rId5" Type="http://schemas.openxmlformats.org/officeDocument/2006/relationships/hyperlink" Target="https://courier.unesco.org/en/articles/estonia-early-convert-digital-technology" TargetMode="External"/><Relationship Id="rId4" Type="http://schemas.openxmlformats.org/officeDocument/2006/relationships/hyperlink" Target="https://www.scientificamerican.com/article/why-writing-by-hand-is-better-for-memory-and-learning/?utm_source=chatgp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724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Maroušková</dc:creator>
  <cp:keywords/>
  <dc:description/>
  <cp:lastModifiedBy>Daniela Maroušková</cp:lastModifiedBy>
  <cp:revision>6</cp:revision>
  <dcterms:created xsi:type="dcterms:W3CDTF">2025-03-30T18:44:00Z</dcterms:created>
  <dcterms:modified xsi:type="dcterms:W3CDTF">2025-04-02T15:20:00Z</dcterms:modified>
</cp:coreProperties>
</file>